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1B34F7E4" w:rsidR="00774195" w:rsidRPr="001D0A89" w:rsidRDefault="007E5525" w:rsidP="00A3709F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A3709F">
        <w:rPr>
          <w:rFonts w:ascii="Arial" w:hAnsi="Arial" w:cs="Arial"/>
          <w:b/>
          <w:bCs/>
          <w:sz w:val="22"/>
          <w:szCs w:val="22"/>
          <w:lang w:val="sk-SK"/>
        </w:rPr>
        <w:t xml:space="preserve">TEMS </w:t>
      </w:r>
      <w:proofErr w:type="spellStart"/>
      <w:r w:rsidR="00A3709F">
        <w:rPr>
          <w:rFonts w:ascii="Arial" w:hAnsi="Arial" w:cs="Arial"/>
          <w:b/>
          <w:bCs/>
          <w:sz w:val="22"/>
          <w:szCs w:val="22"/>
          <w:lang w:val="sk-SK"/>
        </w:rPr>
        <w:t>s.r.o</w:t>
      </w:r>
      <w:proofErr w:type="spellEnd"/>
      <w:r w:rsidR="00A3709F">
        <w:rPr>
          <w:rFonts w:ascii="Arial" w:hAnsi="Arial" w:cs="Arial"/>
          <w:b/>
          <w:bCs/>
          <w:sz w:val="22"/>
          <w:szCs w:val="22"/>
          <w:lang w:val="sk-SK"/>
        </w:rPr>
        <w:t>.</w:t>
      </w:r>
    </w:p>
    <w:p w14:paraId="378E8F2E" w14:textId="69AD4E2D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A3709F">
        <w:rPr>
          <w:rFonts w:ascii="Arial" w:hAnsi="Arial" w:cs="Arial"/>
          <w:sz w:val="22"/>
          <w:szCs w:val="22"/>
          <w:lang w:val="sk-SK"/>
        </w:rPr>
        <w:t>Košická 11017, 080 01 Prešov</w:t>
      </w:r>
    </w:p>
    <w:p w14:paraId="59EAEBCC" w14:textId="46292B35" w:rsidR="00BB7D99" w:rsidRPr="001D0A89" w:rsidRDefault="00D5581B" w:rsidP="00A3709F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A3709F">
        <w:rPr>
          <w:rFonts w:ascii="Arial" w:hAnsi="Arial" w:cs="Arial"/>
          <w:sz w:val="22"/>
          <w:szCs w:val="22"/>
          <w:lang w:val="sk-SK"/>
        </w:rPr>
        <w:t xml:space="preserve">Tomáš </w:t>
      </w:r>
      <w:proofErr w:type="spellStart"/>
      <w:r w:rsidR="00A3709F">
        <w:rPr>
          <w:rFonts w:ascii="Arial" w:hAnsi="Arial" w:cs="Arial"/>
          <w:sz w:val="22"/>
          <w:szCs w:val="22"/>
          <w:lang w:val="sk-SK"/>
        </w:rPr>
        <w:t>Troliga</w:t>
      </w:r>
      <w:proofErr w:type="spellEnd"/>
      <w:r w:rsidR="00A3709F">
        <w:rPr>
          <w:rFonts w:ascii="Arial" w:hAnsi="Arial" w:cs="Arial"/>
          <w:sz w:val="22"/>
          <w:szCs w:val="22"/>
          <w:lang w:val="sk-SK"/>
        </w:rPr>
        <w:t>, konateľ spoločnosti</w:t>
      </w:r>
      <w:r w:rsidR="00223BEB">
        <w:rPr>
          <w:rFonts w:ascii="Arial" w:hAnsi="Arial" w:cs="Arial"/>
          <w:sz w:val="22"/>
          <w:szCs w:val="22"/>
          <w:lang w:val="sk-SK"/>
        </w:rPr>
        <w:t xml:space="preserve">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8298241" w14:textId="0EF70D03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</w:r>
      <w:r w:rsidR="00A3709F">
        <w:rPr>
          <w:rFonts w:ascii="Arial" w:hAnsi="Arial" w:cs="Arial"/>
          <w:sz w:val="22"/>
          <w:szCs w:val="22"/>
          <w:lang w:val="sk-SK"/>
        </w:rPr>
        <w:t>55 294 162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0023A3C0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A3709F">
        <w:rPr>
          <w:rFonts w:ascii="Arial" w:hAnsi="Arial" w:cs="Arial"/>
          <w:sz w:val="22"/>
          <w:szCs w:val="22"/>
          <w:lang w:val="sk-SK"/>
        </w:rPr>
        <w:t>2121948092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C31013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07816BF8" w14:textId="785F30BB" w:rsidR="00D5581B" w:rsidRPr="001161EE" w:rsidRDefault="00D5581B" w:rsidP="00C31013">
      <w:pPr>
        <w:pStyle w:val="Zkladntext3"/>
        <w:ind w:left="540"/>
        <w:jc w:val="both"/>
        <w:rPr>
          <w:rFonts w:ascii="Arial" w:hAnsi="Arial" w:cs="Arial"/>
          <w:bCs/>
          <w:sz w:val="20"/>
          <w:szCs w:val="20"/>
        </w:rPr>
      </w:pPr>
      <w:r w:rsidRPr="001D0A89">
        <w:rPr>
          <w:rFonts w:ascii="Arial" w:hAnsi="Arial" w:cs="Arial"/>
          <w:sz w:val="22"/>
          <w:szCs w:val="22"/>
        </w:rPr>
        <w:t>Objednávateľ sa zaväzuje prevziať riadne dokončené dielo v rozsahu a za podmienok dohodnutých v tejto zmluve, zaplatiť dohodnutú cenu za dielo a poskytnúť potrebnú súčinnosť.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Pr="001D0A89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C31013">
        <w:rPr>
          <w:rFonts w:ascii="Arial" w:hAnsi="Arial" w:cs="Arial"/>
          <w:sz w:val="22"/>
          <w:szCs w:val="22"/>
        </w:rPr>
        <w:t xml:space="preserve"> </w:t>
      </w:r>
      <w:r w:rsidR="00A3709F">
        <w:rPr>
          <w:rFonts w:ascii="Arial" w:hAnsi="Arial" w:cs="Arial"/>
          <w:sz w:val="22"/>
          <w:szCs w:val="22"/>
        </w:rPr>
        <w:t>ŠPORTOVÉ CENTRUM MARIÁNA TROLIGU</w:t>
      </w:r>
      <w:r w:rsidR="00DC78ED" w:rsidRPr="001D0A89">
        <w:rPr>
          <w:rFonts w:ascii="Arial" w:hAnsi="Arial" w:cs="Arial"/>
          <w:sz w:val="22"/>
          <w:szCs w:val="22"/>
        </w:rPr>
        <w:t xml:space="preserve">, miesto dodania: </w:t>
      </w:r>
      <w:r w:rsidR="00A3709F">
        <w:rPr>
          <w:rFonts w:ascii="Arial" w:hAnsi="Arial" w:cs="Arial"/>
          <w:sz w:val="22"/>
          <w:szCs w:val="22"/>
        </w:rPr>
        <w:t>Mesto prešov, katastrálne územie Solivar</w:t>
      </w:r>
      <w:r w:rsidR="005F481C">
        <w:rPr>
          <w:rFonts w:ascii="Arial" w:hAnsi="Arial" w:cs="Arial"/>
          <w:sz w:val="22"/>
          <w:szCs w:val="22"/>
        </w:rPr>
        <w:t>.</w:t>
      </w:r>
    </w:p>
    <w:p w14:paraId="0B17BEAC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54EED342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7F2D55">
        <w:rPr>
          <w:rFonts w:ascii="Arial" w:hAnsi="Arial" w:cs="Arial"/>
          <w:sz w:val="22"/>
          <w:szCs w:val="22"/>
          <w:lang w:val="sk-SK"/>
        </w:rPr>
        <w:t>11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C3D6ED2" w14:textId="377D99C9" w:rsidR="00836FD5" w:rsidRPr="00836FD5" w:rsidRDefault="00836FD5" w:rsidP="00836FD5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 prípade dohody zmluvných strán môže byť dodávateľovi poskytnutý aj preddavok v súlade s § 19 ods. 8-10 zákona č. 523/2004 Z.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 o rozpočtových pravidlách verejnej správy a o zmene a doplnení niektorých zákonov.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7BC44F0E" w14:textId="0E7F6D26" w:rsidR="00416832" w:rsidRPr="00D478CC" w:rsidRDefault="00D5581B" w:rsidP="00D478CC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7B7C224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B76005" w:rsidRPr="001D0A89">
        <w:rPr>
          <w:rFonts w:ascii="Arial" w:hAnsi="Arial" w:cs="Arial"/>
          <w:sz w:val="22"/>
          <w:szCs w:val="22"/>
          <w:lang w:val="sk-SK"/>
        </w:rPr>
        <w:t> </w:t>
      </w:r>
      <w:r w:rsidR="00A3709F">
        <w:rPr>
          <w:rFonts w:ascii="Arial" w:hAnsi="Arial" w:cs="Arial"/>
          <w:sz w:val="22"/>
          <w:szCs w:val="22"/>
          <w:lang w:val="sk-SK"/>
        </w:rPr>
        <w:t>Prešove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4CDC299D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</w:t>
      </w:r>
      <w:r w:rsidRPr="001D0A89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.....</w:t>
      </w:r>
      <w:r w:rsidRPr="001D0A89">
        <w:rPr>
          <w:rFonts w:ascii="Arial" w:hAnsi="Arial" w:cs="Arial"/>
          <w:sz w:val="22"/>
          <w:szCs w:val="22"/>
          <w:lang w:val="sk-SK"/>
        </w:rPr>
        <w:t>.............</w:t>
      </w:r>
    </w:p>
    <w:p w14:paraId="386CAFE7" w14:textId="6CC43085" w:rsidR="00342504" w:rsidRPr="001D0A89" w:rsidRDefault="00A3709F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 xml:space="preserve">Tomáš </w:t>
      </w:r>
      <w:proofErr w:type="spellStart"/>
      <w:r>
        <w:rPr>
          <w:rFonts w:ascii="Arial" w:hAnsi="Arial" w:cs="Arial"/>
          <w:b/>
          <w:bCs/>
          <w:sz w:val="22"/>
          <w:szCs w:val="22"/>
          <w:lang w:val="sk-SK"/>
        </w:rPr>
        <w:t>Troliga</w:t>
      </w:r>
      <w:proofErr w:type="spellEnd"/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52B6350B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13D10D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611FAC92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B1BFD7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53195313" w14:textId="27FE53B8" w:rsidR="00C31013" w:rsidRDefault="00A3709F" w:rsidP="00C31013">
      <w:pPr>
        <w:pStyle w:val="Zkladntex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...................</w:t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</w:t>
      </w:r>
    </w:p>
    <w:p w14:paraId="3CA51181" w14:textId="3CC123D4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76E7" w14:textId="77777777" w:rsidR="00817F34" w:rsidRDefault="00817F34" w:rsidP="00062F04">
      <w:r>
        <w:separator/>
      </w:r>
    </w:p>
  </w:endnote>
  <w:endnote w:type="continuationSeparator" w:id="0">
    <w:p w14:paraId="3CD60357" w14:textId="77777777" w:rsidR="00817F34" w:rsidRDefault="00817F34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F002" w14:textId="77777777" w:rsidR="00817F34" w:rsidRDefault="00817F34" w:rsidP="00062F04">
      <w:r>
        <w:separator/>
      </w:r>
    </w:p>
  </w:footnote>
  <w:footnote w:type="continuationSeparator" w:id="0">
    <w:p w14:paraId="453F745D" w14:textId="77777777" w:rsidR="00817F34" w:rsidRDefault="00817F34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652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28D7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3BEB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3C9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2D5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17F34"/>
    <w:rsid w:val="00827B08"/>
    <w:rsid w:val="00836FD5"/>
    <w:rsid w:val="00840C5C"/>
    <w:rsid w:val="00844884"/>
    <w:rsid w:val="008451BC"/>
    <w:rsid w:val="00845F93"/>
    <w:rsid w:val="008463B7"/>
    <w:rsid w:val="0084640C"/>
    <w:rsid w:val="00846B9B"/>
    <w:rsid w:val="00847ED5"/>
    <w:rsid w:val="008503FD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0DF3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24198"/>
    <w:rsid w:val="00A324C1"/>
    <w:rsid w:val="00A32C53"/>
    <w:rsid w:val="00A36AA3"/>
    <w:rsid w:val="00A36C71"/>
    <w:rsid w:val="00A3709F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55218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13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97A72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04C04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8CC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367D9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3</cp:revision>
  <cp:lastPrinted>2017-06-06T08:31:00Z</cp:lastPrinted>
  <dcterms:created xsi:type="dcterms:W3CDTF">2025-03-05T21:52:00Z</dcterms:created>
  <dcterms:modified xsi:type="dcterms:W3CDTF">2025-03-05T22:09:00Z</dcterms:modified>
</cp:coreProperties>
</file>